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2">
      <w:pPr>
        <w:pBdr>
          <w:top w:color="0080a7" w:space="0" w:sz="24" w:val="single"/>
        </w:pBdr>
        <w:spacing w:line="264" w:lineRule="auto"/>
        <w:jc w:val="center"/>
        <w:rPr>
          <w:rFonts w:ascii="Calibri" w:cs="Calibri" w:eastAsia="Calibri" w:hAnsi="Calibri"/>
          <w:b w:val="1"/>
          <w:color w:val="149c7a"/>
          <w:sz w:val="96"/>
          <w:szCs w:val="96"/>
        </w:rPr>
      </w:pPr>
      <w:r w:rsidDel="00000000" w:rsidR="00000000" w:rsidRPr="00000000">
        <w:rPr>
          <w:rFonts w:ascii="Calibri" w:cs="Calibri" w:eastAsia="Calibri" w:hAnsi="Calibri"/>
          <w:b w:val="1"/>
          <w:color w:val="149c7a"/>
          <w:sz w:val="96"/>
          <w:szCs w:val="96"/>
          <w:rtl w:val="0"/>
        </w:rPr>
        <w:t xml:space="preserve">CPSWV Computing Statement </w:t>
      </w:r>
    </w:p>
    <w:p w:rsidR="00000000" w:rsidDel="00000000" w:rsidP="00000000" w:rsidRDefault="00000000" w:rsidRPr="00000000" w14:paraId="00000003">
      <w:pPr>
        <w:pBdr>
          <w:bottom w:color="0080a7" w:space="0" w:sz="24" w:val="single"/>
        </w:pBdr>
        <w:spacing w:line="264" w:lineRule="auto"/>
        <w:jc w:val="center"/>
        <w:rPr>
          <w:rFonts w:ascii="Calibri" w:cs="Calibri" w:eastAsia="Calibri" w:hAnsi="Calibri"/>
          <w:color w:val="149c7a"/>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r w:rsidDel="00000000" w:rsidR="00000000" w:rsidRPr="00000000">
        <w:drawing>
          <wp:anchor allowOverlap="1" behindDoc="0" distB="19050" distT="19050" distL="19050" distR="19050" hidden="0" layoutInCell="1" locked="0" relativeHeight="0" simplePos="0">
            <wp:simplePos x="0" y="0"/>
            <wp:positionH relativeFrom="column">
              <wp:posOffset>195875</wp:posOffset>
            </wp:positionH>
            <wp:positionV relativeFrom="paragraph">
              <wp:posOffset>34925</wp:posOffset>
            </wp:positionV>
            <wp:extent cx="5834063" cy="58340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834063" cy="5834063"/>
                    </a:xfrm>
                    <a:prstGeom prst="rect"/>
                    <a:ln/>
                  </pic:spPr>
                </pic:pic>
              </a:graphicData>
            </a:graphic>
          </wp:anchor>
        </w:drawing>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tl w:val="0"/>
        </w:rPr>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tl w:val="0"/>
        </w:rPr>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tl w:val="0"/>
        </w:rPr>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rPr>
      </w:pP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tl w:val="0"/>
        </w:rPr>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tl w:val="0"/>
        </w:rPr>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tl w:val="0"/>
        </w:rPr>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tl w:val="0"/>
        </w:rPr>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tl w:val="0"/>
        </w:rPr>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tl w:val="0"/>
        </w:rPr>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tl w:val="0"/>
        </w:rPr>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rFonts w:ascii="Calibri" w:cs="Calibri" w:eastAsia="Calibri" w:hAnsi="Calibri"/>
        </w:rPr>
      </w:pP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tl w:val="0"/>
        </w:rPr>
      </w:r>
    </w:p>
    <w:p w:rsidR="00000000" w:rsidDel="00000000" w:rsidP="00000000" w:rsidRDefault="00000000" w:rsidRPr="00000000" w14:paraId="00000024">
      <w:pPr>
        <w:rPr>
          <w:rFonts w:ascii="Calibri" w:cs="Calibri" w:eastAsia="Calibri" w:hAnsi="Calibri"/>
        </w:rPr>
      </w:pPr>
      <w:r w:rsidDel="00000000" w:rsidR="00000000" w:rsidRPr="00000000">
        <w:rPr>
          <w:rtl w:val="0"/>
        </w:rPr>
      </w:r>
    </w:p>
    <w:p w:rsidR="00000000" w:rsidDel="00000000" w:rsidP="00000000" w:rsidRDefault="00000000" w:rsidRPr="00000000" w14:paraId="00000025">
      <w:pPr>
        <w:rPr>
          <w:rFonts w:ascii="Calibri" w:cs="Calibri" w:eastAsia="Calibri" w:hAnsi="Calibri"/>
        </w:rPr>
      </w:pPr>
      <w:r w:rsidDel="00000000" w:rsidR="00000000" w:rsidRPr="00000000">
        <w:rPr>
          <w:rtl w:val="0"/>
        </w:rPr>
      </w:r>
    </w:p>
    <w:p w:rsidR="00000000" w:rsidDel="00000000" w:rsidP="00000000" w:rsidRDefault="00000000" w:rsidRPr="00000000" w14:paraId="00000026">
      <w:pPr>
        <w:rPr>
          <w:rFonts w:ascii="Calibri" w:cs="Calibri" w:eastAsia="Calibri" w:hAnsi="Calibri"/>
        </w:rPr>
      </w:pPr>
      <w:r w:rsidDel="00000000" w:rsidR="00000000" w:rsidRPr="00000000">
        <w:rPr>
          <w:rtl w:val="0"/>
        </w:rPr>
      </w:r>
    </w:p>
    <w:tbl>
      <w:tblPr>
        <w:tblStyle w:val="Table1"/>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Intent</w:t>
            </w:r>
          </w:p>
        </w:tc>
      </w:tr>
    </w:tbl>
    <w:p w:rsidR="00000000" w:rsidDel="00000000" w:rsidP="00000000" w:rsidRDefault="00000000" w:rsidRPr="00000000" w14:paraId="00000028">
      <w:pPr>
        <w:rPr>
          <w:rFonts w:ascii="Calibri" w:cs="Calibri" w:eastAsia="Calibri" w:hAnsi="Calibri"/>
        </w:rPr>
      </w:pPr>
      <w:r w:rsidDel="00000000" w:rsidR="00000000" w:rsidRPr="00000000">
        <w:rPr>
          <w:rtl w:val="0"/>
        </w:rPr>
      </w:r>
    </w:p>
    <w:tbl>
      <w:tblPr>
        <w:tblStyle w:val="Table2"/>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9">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Computing has become a large part of our everyday lives. It is how we entertain ourselves and work. Almost everything we do within school involves computing. This includes communicating with staff and parents through emails, lesson planning, assessments, delivering lessons using interactive white boards, recording work and researching.  Today, computing in schools has reached out to the homes of children through virtual learning platforms like Tapestry, Dojo and Google Classroom. </w:t>
            </w:r>
          </w:p>
          <w:p w:rsidR="00000000" w:rsidDel="00000000" w:rsidP="00000000" w:rsidRDefault="00000000" w:rsidRPr="00000000" w14:paraId="0000002A">
            <w:pPr>
              <w:spacing w:line="240"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2B">
            <w:pPr>
              <w:spacing w:line="240" w:lineRule="auto"/>
              <w:jc w:val="both"/>
              <w:rPr>
                <w:rFonts w:ascii="Calibri" w:cs="Calibri" w:eastAsia="Calibri" w:hAnsi="Calibri"/>
              </w:rPr>
            </w:pPr>
            <w:r w:rsidDel="00000000" w:rsidR="00000000" w:rsidRPr="00000000">
              <w:rPr>
                <w:rFonts w:ascii="Calibri" w:cs="Calibri" w:eastAsia="Calibri" w:hAnsi="Calibri"/>
                <w:sz w:val="21"/>
                <w:szCs w:val="21"/>
                <w:rtl w:val="0"/>
              </w:rPr>
              <w:t xml:space="preserve">Through teaching computing, we are enabling children to participate in our world of innovation and rapidly changing technology. We will equip them to record and analyse different information and learn how we can present this information in exciting ways. We will teach them to safely communicate through the internet and make them aware of their digital footprint. We will allow them to develop and use their computing skills in an effective way so that they can become confident, creative and independent learners.  </w:t>
            </w:r>
            <w:r w:rsidDel="00000000" w:rsidR="00000000" w:rsidRPr="00000000">
              <w:rPr>
                <w:rtl w:val="0"/>
              </w:rPr>
            </w:r>
          </w:p>
        </w:tc>
      </w:tr>
    </w:tbl>
    <w:p w:rsidR="00000000" w:rsidDel="00000000" w:rsidP="00000000" w:rsidRDefault="00000000" w:rsidRPr="00000000" w14:paraId="0000002C">
      <w:pPr>
        <w:spacing w:after="200" w:line="276" w:lineRule="auto"/>
        <w:rPr>
          <w:rFonts w:ascii="Calibri" w:cs="Calibri" w:eastAsia="Calibri" w:hAnsi="Calibri"/>
          <w:sz w:val="24"/>
          <w:szCs w:val="24"/>
        </w:rPr>
      </w:pPr>
      <w:r w:rsidDel="00000000" w:rsidR="00000000" w:rsidRPr="00000000">
        <w:rPr>
          <w:rtl w:val="0"/>
        </w:rPr>
      </w:r>
    </w:p>
    <w:tbl>
      <w:tblPr>
        <w:tblStyle w:val="Table3"/>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Implementation</w:t>
            </w:r>
          </w:p>
        </w:tc>
      </w:tr>
    </w:tbl>
    <w:p w:rsidR="00000000" w:rsidDel="00000000" w:rsidP="00000000" w:rsidRDefault="00000000" w:rsidRPr="00000000" w14:paraId="0000002E">
      <w:pPr>
        <w:spacing w:after="0" w:line="240" w:lineRule="auto"/>
        <w:rPr>
          <w:rFonts w:ascii="Calibri" w:cs="Calibri" w:eastAsia="Calibri" w:hAnsi="Calibri"/>
          <w:sz w:val="24"/>
          <w:szCs w:val="24"/>
        </w:rPr>
      </w:pPr>
      <w:r w:rsidDel="00000000" w:rsidR="00000000" w:rsidRPr="00000000">
        <w:rPr>
          <w:rtl w:val="0"/>
        </w:rPr>
      </w:r>
    </w:p>
    <w:tbl>
      <w:tblPr>
        <w:tblStyle w:val="Table4"/>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2F">
            <w:pPr>
              <w:spacing w:line="240" w:lineRule="auto"/>
              <w:jc w:val="both"/>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Resources </w:t>
            </w:r>
          </w:p>
          <w:p w:rsidR="00000000" w:rsidDel="00000000" w:rsidP="00000000" w:rsidRDefault="00000000" w:rsidRPr="00000000" w14:paraId="00000030">
            <w:pPr>
              <w:spacing w:line="240" w:lineRule="auto"/>
              <w:jc w:val="both"/>
              <w:rPr>
                <w:rFonts w:ascii="Calibri" w:cs="Calibri" w:eastAsia="Calibri" w:hAnsi="Calibri"/>
                <w:b w:val="1"/>
                <w:sz w:val="21"/>
                <w:szCs w:val="21"/>
              </w:rPr>
            </w:pPr>
            <w:r w:rsidDel="00000000" w:rsidR="00000000" w:rsidRPr="00000000">
              <w:rPr>
                <w:rtl w:val="0"/>
              </w:rPr>
            </w:r>
          </w:p>
          <w:p w:rsidR="00000000" w:rsidDel="00000000" w:rsidP="00000000" w:rsidRDefault="00000000" w:rsidRPr="00000000" w14:paraId="00000031">
            <w:pPr>
              <w:spacing w:line="240" w:lineRule="auto"/>
              <w:jc w:val="both"/>
              <w:rPr>
                <w:rFonts w:ascii="Calibri" w:cs="Calibri" w:eastAsia="Calibri" w:hAnsi="Calibri"/>
                <w:b w:val="1"/>
                <w:i w:val="1"/>
                <w:sz w:val="21"/>
                <w:szCs w:val="21"/>
                <w:u w:val="single"/>
              </w:rPr>
            </w:pPr>
            <w:r w:rsidDel="00000000" w:rsidR="00000000" w:rsidRPr="00000000">
              <w:rPr>
                <w:rFonts w:ascii="Calibri" w:cs="Calibri" w:eastAsia="Calibri" w:hAnsi="Calibri"/>
                <w:b w:val="1"/>
                <w:i w:val="1"/>
                <w:sz w:val="21"/>
                <w:szCs w:val="21"/>
                <w:u w:val="single"/>
                <w:rtl w:val="0"/>
              </w:rPr>
              <w:t xml:space="preserve">Hardware</w:t>
            </w:r>
          </w:p>
          <w:p w:rsidR="00000000" w:rsidDel="00000000" w:rsidP="00000000" w:rsidRDefault="00000000" w:rsidRPr="00000000" w14:paraId="00000032">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All year groups are equipped with an interactive white board and iPads can be loaned out to classes. Teachers have access to their own laptop to use in the classroom in order to deliver lessons. Both schools have access to laptops. </w:t>
            </w:r>
          </w:p>
          <w:p w:rsidR="00000000" w:rsidDel="00000000" w:rsidP="00000000" w:rsidRDefault="00000000" w:rsidRPr="00000000" w14:paraId="00000033">
            <w:pPr>
              <w:spacing w:line="240"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34">
            <w:pPr>
              <w:spacing w:line="240" w:lineRule="auto"/>
              <w:jc w:val="both"/>
              <w:rPr>
                <w:rFonts w:ascii="Calibri" w:cs="Calibri" w:eastAsia="Calibri" w:hAnsi="Calibri"/>
                <w:b w:val="1"/>
                <w:i w:val="1"/>
                <w:sz w:val="21"/>
                <w:szCs w:val="21"/>
                <w:u w:val="single"/>
              </w:rPr>
            </w:pPr>
            <w:r w:rsidDel="00000000" w:rsidR="00000000" w:rsidRPr="00000000">
              <w:rPr>
                <w:rFonts w:ascii="Calibri" w:cs="Calibri" w:eastAsia="Calibri" w:hAnsi="Calibri"/>
                <w:b w:val="1"/>
                <w:i w:val="1"/>
                <w:sz w:val="21"/>
                <w:szCs w:val="21"/>
                <w:u w:val="single"/>
                <w:rtl w:val="0"/>
              </w:rPr>
              <w:t xml:space="preserve">Software</w:t>
            </w:r>
          </w:p>
          <w:p w:rsidR="00000000" w:rsidDel="00000000" w:rsidP="00000000" w:rsidRDefault="00000000" w:rsidRPr="00000000" w14:paraId="00000035">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Both schools are subscribed to online resources to support teaching and learning including: </w:t>
            </w:r>
          </w:p>
          <w:p w:rsidR="00000000" w:rsidDel="00000000" w:rsidP="00000000" w:rsidRDefault="00000000" w:rsidRPr="00000000" w14:paraId="00000036">
            <w:pPr>
              <w:spacing w:line="240"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37">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Charanga Music </w:t>
            </w:r>
          </w:p>
          <w:p w:rsidR="00000000" w:rsidDel="00000000" w:rsidP="00000000" w:rsidRDefault="00000000" w:rsidRPr="00000000" w14:paraId="00000038">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Timetable Rockstars</w:t>
            </w:r>
          </w:p>
          <w:p w:rsidR="00000000" w:rsidDel="00000000" w:rsidP="00000000" w:rsidRDefault="00000000" w:rsidRPr="00000000" w14:paraId="00000039">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White Rose</w:t>
            </w:r>
          </w:p>
          <w:p w:rsidR="00000000" w:rsidDel="00000000" w:rsidP="00000000" w:rsidRDefault="00000000" w:rsidRPr="00000000" w14:paraId="0000003A">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Literacy Shed </w:t>
            </w:r>
          </w:p>
          <w:p w:rsidR="00000000" w:rsidDel="00000000" w:rsidP="00000000" w:rsidRDefault="00000000" w:rsidRPr="00000000" w14:paraId="0000003B">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Nudbridge Publishing LTD </w:t>
            </w:r>
          </w:p>
          <w:p w:rsidR="00000000" w:rsidDel="00000000" w:rsidP="00000000" w:rsidRDefault="00000000" w:rsidRPr="00000000" w14:paraId="0000003C">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Power of Reading</w:t>
            </w:r>
          </w:p>
          <w:p w:rsidR="00000000" w:rsidDel="00000000" w:rsidP="00000000" w:rsidRDefault="00000000" w:rsidRPr="00000000" w14:paraId="0000003D">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SPAG.com</w:t>
            </w:r>
          </w:p>
          <w:p w:rsidR="00000000" w:rsidDel="00000000" w:rsidP="00000000" w:rsidRDefault="00000000" w:rsidRPr="00000000" w14:paraId="0000003E">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Vocabulary Ninja</w:t>
            </w:r>
          </w:p>
          <w:p w:rsidR="00000000" w:rsidDel="00000000" w:rsidP="00000000" w:rsidRDefault="00000000" w:rsidRPr="00000000" w14:paraId="0000003F">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Testbase</w:t>
            </w:r>
          </w:p>
          <w:p w:rsidR="00000000" w:rsidDel="00000000" w:rsidP="00000000" w:rsidRDefault="00000000" w:rsidRPr="00000000" w14:paraId="00000040">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Ten Ten </w:t>
            </w:r>
          </w:p>
          <w:p w:rsidR="00000000" w:rsidDel="00000000" w:rsidP="00000000" w:rsidRDefault="00000000" w:rsidRPr="00000000" w14:paraId="00000041">
            <w:pPr>
              <w:spacing w:line="240"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42">
            <w:pPr>
              <w:spacing w:line="240"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43">
            <w:pPr>
              <w:spacing w:line="240" w:lineRule="auto"/>
              <w:jc w:val="both"/>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Virtual Learning </w:t>
            </w:r>
          </w:p>
          <w:p w:rsidR="00000000" w:rsidDel="00000000" w:rsidP="00000000" w:rsidRDefault="00000000" w:rsidRPr="00000000" w14:paraId="00000044">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Each year group has access to a virtual learning platform including Tapestry in Early Years, Dojo in KS1 and Google Classroom in KS2. This provides a safe and secure area for teachers to deliver homework tasks, communicate with parents and share learning that is happening in classrooms. </w:t>
            </w:r>
          </w:p>
          <w:p w:rsidR="00000000" w:rsidDel="00000000" w:rsidP="00000000" w:rsidRDefault="00000000" w:rsidRPr="00000000" w14:paraId="00000045">
            <w:pPr>
              <w:spacing w:line="240"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46">
            <w:pPr>
              <w:spacing w:line="240" w:lineRule="auto"/>
              <w:jc w:val="both"/>
              <w:rPr>
                <w:rFonts w:ascii="Calibri" w:cs="Calibri" w:eastAsia="Calibri" w:hAnsi="Calibri"/>
                <w:sz w:val="21"/>
                <w:szCs w:val="21"/>
              </w:rPr>
            </w:pPr>
            <w:r w:rsidDel="00000000" w:rsidR="00000000" w:rsidRPr="00000000">
              <w:rPr>
                <w:rtl w:val="0"/>
              </w:rPr>
            </w:r>
          </w:p>
          <w:p w:rsidR="00000000" w:rsidDel="00000000" w:rsidP="00000000" w:rsidRDefault="00000000" w:rsidRPr="00000000" w14:paraId="00000047">
            <w:pPr>
              <w:spacing w:line="240" w:lineRule="auto"/>
              <w:jc w:val="both"/>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Planning</w:t>
            </w:r>
          </w:p>
          <w:p w:rsidR="00000000" w:rsidDel="00000000" w:rsidP="00000000" w:rsidRDefault="00000000" w:rsidRPr="00000000" w14:paraId="00000048">
            <w:pPr>
              <w:spacing w:line="240" w:lineRule="auto"/>
              <w:jc w:val="both"/>
              <w:rPr>
                <w:rFonts w:ascii="Calibri" w:cs="Calibri" w:eastAsia="Calibri" w:hAnsi="Calibri"/>
                <w:sz w:val="21"/>
                <w:szCs w:val="21"/>
              </w:rPr>
            </w:pPr>
            <w:r w:rsidDel="00000000" w:rsidR="00000000" w:rsidRPr="00000000">
              <w:rPr>
                <w:rFonts w:ascii="Calibri" w:cs="Calibri" w:eastAsia="Calibri" w:hAnsi="Calibri"/>
                <w:sz w:val="21"/>
                <w:szCs w:val="21"/>
                <w:rtl w:val="0"/>
              </w:rPr>
              <w:t xml:space="preserve">In order to meet the requirements of the National Curriculum, both schools use the Keychain Computing Scheme to support medium term planning. Teachers complete weekly plans based on the units outlined for their year group in addition to planning opportunities for computing to be cross curricular where possible. As Catholic schools, we are particularly interested in how we can incorporate computing into religious education. </w:t>
            </w:r>
          </w:p>
          <w:p w:rsidR="00000000" w:rsidDel="00000000" w:rsidP="00000000" w:rsidRDefault="00000000" w:rsidRPr="00000000" w14:paraId="00000049">
            <w:pPr>
              <w:spacing w:line="240" w:lineRule="auto"/>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4A">
            <w:pPr>
              <w:spacing w:line="240" w:lineRule="auto"/>
              <w:jc w:val="both"/>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Assessment </w:t>
            </w:r>
          </w:p>
          <w:p w:rsidR="00000000" w:rsidDel="00000000" w:rsidP="00000000" w:rsidRDefault="00000000" w:rsidRPr="00000000" w14:paraId="0000004B">
            <w:pPr>
              <w:spacing w:line="240"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Assessment is considered vital in order to deliver a broad and balanced curriculum. Each year group has a floor book containing computing work from ranging abilities in that particular class. This is kept and annotated by class champions to record learning. In addition, assessment records are kept by class teachers on Google Drive which outline the level of achievement from each student after the completion of a computing unit. </w:t>
            </w:r>
          </w:p>
          <w:p w:rsidR="00000000" w:rsidDel="00000000" w:rsidP="00000000" w:rsidRDefault="00000000" w:rsidRPr="00000000" w14:paraId="0000004C">
            <w:pPr>
              <w:spacing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4D">
            <w:pPr>
              <w:spacing w:line="240" w:lineRule="auto"/>
              <w:jc w:val="both"/>
              <w:rPr>
                <w:rFonts w:ascii="Calibri" w:cs="Calibri" w:eastAsia="Calibri" w:hAnsi="Calibri"/>
                <w:b w:val="1"/>
                <w:sz w:val="21"/>
                <w:szCs w:val="21"/>
              </w:rPr>
            </w:pPr>
            <w:r w:rsidDel="00000000" w:rsidR="00000000" w:rsidRPr="00000000">
              <w:rPr>
                <w:rFonts w:ascii="Calibri" w:cs="Calibri" w:eastAsia="Calibri" w:hAnsi="Calibri"/>
                <w:b w:val="1"/>
                <w:sz w:val="21"/>
                <w:szCs w:val="21"/>
                <w:rtl w:val="0"/>
              </w:rPr>
              <w:t xml:space="preserve">Monitoring </w:t>
            </w:r>
          </w:p>
          <w:p w:rsidR="00000000" w:rsidDel="00000000" w:rsidP="00000000" w:rsidRDefault="00000000" w:rsidRPr="00000000" w14:paraId="0000004E">
            <w:pPr>
              <w:spacing w:line="240" w:lineRule="auto"/>
              <w:jc w:val="both"/>
              <w:rPr>
                <w:rFonts w:ascii="Calibri" w:cs="Calibri" w:eastAsia="Calibri" w:hAnsi="Calibri"/>
                <w:sz w:val="24"/>
                <w:szCs w:val="24"/>
              </w:rPr>
            </w:pPr>
            <w:bookmarkStart w:colFirst="0" w:colLast="0" w:name="_gjdgxs" w:id="0"/>
            <w:bookmarkEnd w:id="0"/>
            <w:r w:rsidDel="00000000" w:rsidR="00000000" w:rsidRPr="00000000">
              <w:rPr>
                <w:rFonts w:ascii="Calibri" w:cs="Calibri" w:eastAsia="Calibri" w:hAnsi="Calibri"/>
                <w:sz w:val="20"/>
                <w:szCs w:val="20"/>
                <w:rtl w:val="0"/>
              </w:rPr>
              <w:t xml:space="preserve">Teachers follow the Key chain Computing planning where each unit which needs to be covered is featured in the curriculum overview. This ensures all National Curriculum objectives are met and that there is a clear progression of skills. Observations and book scrutinise are carried out each term to monitor the teaching of computing across both schools and to inform action planning. Action plans are updated regularly, based on monitoring, and are shared with staff to support next steps. Additionally, staff can access exemplars of computing work on the school’s Google Drive which clearly present the expectations of standards of work. </w:t>
            </w:r>
            <w:r w:rsidDel="00000000" w:rsidR="00000000" w:rsidRPr="00000000">
              <w:rPr>
                <w:rtl w:val="0"/>
              </w:rPr>
            </w:r>
          </w:p>
        </w:tc>
      </w:tr>
    </w:tbl>
    <w:p w:rsidR="00000000" w:rsidDel="00000000" w:rsidP="00000000" w:rsidRDefault="00000000" w:rsidRPr="00000000" w14:paraId="0000004F">
      <w:pPr>
        <w:spacing w:after="20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0">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1">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2">
      <w:pPr>
        <w:spacing w:after="200" w:line="276" w:lineRule="auto"/>
        <w:rPr>
          <w:rFonts w:ascii="Calibri" w:cs="Calibri" w:eastAsia="Calibri" w:hAnsi="Calibri"/>
          <w:sz w:val="24"/>
          <w:szCs w:val="24"/>
        </w:rPr>
      </w:pPr>
      <w:r w:rsidDel="00000000" w:rsidR="00000000" w:rsidRPr="00000000">
        <w:rPr>
          <w:rtl w:val="0"/>
        </w:rPr>
      </w:r>
    </w:p>
    <w:tbl>
      <w:tblPr>
        <w:tblStyle w:val="Table5"/>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Impact</w:t>
            </w:r>
          </w:p>
        </w:tc>
      </w:tr>
    </w:tbl>
    <w:p w:rsidR="00000000" w:rsidDel="00000000" w:rsidP="00000000" w:rsidRDefault="00000000" w:rsidRPr="00000000" w14:paraId="00000054">
      <w:pPr>
        <w:spacing w:after="0" w:line="276" w:lineRule="auto"/>
        <w:rPr>
          <w:rFonts w:ascii="Calibri" w:cs="Calibri" w:eastAsia="Calibri" w:hAnsi="Calibri"/>
          <w:sz w:val="24"/>
          <w:szCs w:val="24"/>
        </w:rPr>
      </w:pPr>
      <w:r w:rsidDel="00000000" w:rsidR="00000000" w:rsidRPr="00000000">
        <w:rPr>
          <w:rtl w:val="0"/>
        </w:rPr>
      </w:r>
    </w:p>
    <w:tbl>
      <w:tblPr>
        <w:tblStyle w:val="Table6"/>
        <w:tblW w:w="9334.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34"/>
        <w:tblGridChange w:id="0">
          <w:tblGrid>
            <w:gridCol w:w="9334"/>
          </w:tblGrid>
        </w:tblGridChange>
      </w:tblGrid>
      <w:tr>
        <w:trPr>
          <w:cantSplit w:val="0"/>
          <w:tblHeader w:val="0"/>
        </w:trPr>
        <w:tc>
          <w:tcPr>
            <w:shd w:fill="d9ead3" w:val="clear"/>
            <w:tcMar>
              <w:top w:w="100.0" w:type="dxa"/>
              <w:left w:w="100.0" w:type="dxa"/>
              <w:bottom w:w="100.0" w:type="dxa"/>
              <w:right w:w="100.0" w:type="dxa"/>
            </w:tcMar>
            <w:vAlign w:val="top"/>
          </w:tcPr>
          <w:p w:rsidR="00000000" w:rsidDel="00000000" w:rsidP="00000000" w:rsidRDefault="00000000" w:rsidRPr="00000000" w14:paraId="00000055">
            <w:pPr>
              <w:spacing w:after="160" w:line="259" w:lineRule="auto"/>
              <w:ind w:left="0" w:firstLine="0"/>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56">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8">
      <w:pPr>
        <w:spacing w:after="20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9">
      <w:pPr>
        <w:spacing w:after="200" w:line="276" w:lineRule="auto"/>
        <w:rPr>
          <w:rFonts w:ascii="Calibri" w:cs="Calibri" w:eastAsia="Calibri" w:hAnsi="Calibri"/>
          <w:sz w:val="24"/>
          <w:szCs w:val="24"/>
        </w:rPr>
      </w:pPr>
      <w:r w:rsidDel="00000000" w:rsidR="00000000" w:rsidRPr="00000000">
        <w:rPr>
          <w:rtl w:val="0"/>
        </w:rPr>
      </w:r>
    </w:p>
    <w:sectPr>
      <w:pgSz w:h="16838" w:w="11906" w:orient="portrait"/>
      <w:pgMar w:bottom="1286.929133858268" w:top="1286.929133858268" w:left="1286.929133858268" w:right="1286.92913385826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